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4E" w:rsidRPr="00E82B8C" w:rsidRDefault="00F25B4E" w:rsidP="00E82B8C">
      <w:pPr>
        <w:pStyle w:val="Normalcen"/>
        <w:spacing w:line="360" w:lineRule="auto"/>
        <w:ind w:left="0" w:right="-28"/>
        <w:rPr>
          <w:b/>
          <w:smallCaps w:val="0"/>
          <w:position w:val="0"/>
          <w:sz w:val="22"/>
        </w:rPr>
      </w:pPr>
      <w:r w:rsidRPr="00E82B8C">
        <w:rPr>
          <w:b/>
          <w:smallCaps w:val="0"/>
          <w:position w:val="0"/>
          <w:sz w:val="22"/>
        </w:rPr>
        <w:t>Activation gliale précoce en réponse aux lipides nutritionnels dans l’hypothalamus</w:t>
      </w:r>
    </w:p>
    <w:p w:rsidR="00F25B4E" w:rsidRDefault="00F25B4E" w:rsidP="00E82B8C">
      <w:pPr>
        <w:pStyle w:val="Normalcen"/>
        <w:spacing w:line="360" w:lineRule="auto"/>
        <w:ind w:left="0" w:right="-28"/>
        <w:rPr>
          <w:smallCaps w:val="0"/>
          <w:position w:val="0"/>
          <w:sz w:val="22"/>
          <w:u w:val="single"/>
        </w:rPr>
      </w:pPr>
    </w:p>
    <w:p w:rsidR="00F25B4E" w:rsidRPr="00935A1F" w:rsidRDefault="00F25B4E" w:rsidP="00E82B8C">
      <w:pPr>
        <w:pStyle w:val="Normalcen"/>
        <w:spacing w:line="360" w:lineRule="auto"/>
        <w:ind w:left="0" w:right="-28"/>
        <w:rPr>
          <w:smallCaps w:val="0"/>
          <w:position w:val="0"/>
          <w:sz w:val="22"/>
          <w:u w:val="single"/>
          <w:vertAlign w:val="superscript"/>
        </w:rPr>
      </w:pPr>
      <w:r w:rsidRPr="00935A1F">
        <w:rPr>
          <w:smallCaps w:val="0"/>
          <w:position w:val="0"/>
          <w:sz w:val="22"/>
        </w:rPr>
        <w:t>Céline Cansell</w:t>
      </w:r>
      <w:r w:rsidRPr="00935A1F">
        <w:rPr>
          <w:b/>
          <w:smallCaps w:val="0"/>
          <w:position w:val="0"/>
          <w:sz w:val="22"/>
          <w:vertAlign w:val="superscript"/>
        </w:rPr>
        <w:t>1</w:t>
      </w:r>
      <w:r w:rsidRPr="00935A1F">
        <w:rPr>
          <w:smallCaps w:val="0"/>
          <w:position w:val="0"/>
          <w:sz w:val="22"/>
        </w:rPr>
        <w:t>,</w:t>
      </w:r>
      <w:r>
        <w:rPr>
          <w:smallCaps w:val="0"/>
          <w:position w:val="0"/>
          <w:sz w:val="22"/>
        </w:rPr>
        <w:t xml:space="preserve"> Ophélia Le Thuc</w:t>
      </w:r>
      <w:r w:rsidR="00935A1F" w:rsidRPr="00935A1F">
        <w:rPr>
          <w:smallCaps w:val="0"/>
          <w:position w:val="0"/>
          <w:sz w:val="22"/>
          <w:vertAlign w:val="superscript"/>
        </w:rPr>
        <w:t>1</w:t>
      </w:r>
      <w:proofErr w:type="gramStart"/>
      <w:r w:rsidR="00935A1F" w:rsidRPr="00935A1F">
        <w:rPr>
          <w:smallCaps w:val="0"/>
          <w:position w:val="0"/>
          <w:sz w:val="22"/>
          <w:vertAlign w:val="superscript"/>
        </w:rPr>
        <w:t>,</w:t>
      </w:r>
      <w:r w:rsidRPr="00935A1F">
        <w:rPr>
          <w:smallCaps w:val="0"/>
          <w:position w:val="0"/>
          <w:sz w:val="22"/>
          <w:vertAlign w:val="superscript"/>
        </w:rPr>
        <w:t>2</w:t>
      </w:r>
      <w:proofErr w:type="gramEnd"/>
      <w:r>
        <w:rPr>
          <w:smallCaps w:val="0"/>
          <w:position w:val="0"/>
          <w:sz w:val="22"/>
        </w:rPr>
        <w:t>, Frédéric Brau</w:t>
      </w:r>
      <w:r w:rsidRPr="00762E03">
        <w:rPr>
          <w:b/>
          <w:smallCaps w:val="0"/>
          <w:position w:val="0"/>
          <w:sz w:val="22"/>
          <w:vertAlign w:val="superscript"/>
        </w:rPr>
        <w:t>1</w:t>
      </w:r>
      <w:r>
        <w:rPr>
          <w:smallCaps w:val="0"/>
          <w:position w:val="0"/>
          <w:sz w:val="22"/>
        </w:rPr>
        <w:t>, Nadège Devaux</w:t>
      </w:r>
      <w:r w:rsidR="00E460F7" w:rsidRPr="00277A0A">
        <w:rPr>
          <w:rFonts w:ascii="Calibri" w:hAnsi="Calibri"/>
          <w:b/>
          <w:smallCaps w:val="0"/>
          <w:position w:val="0"/>
          <w:sz w:val="22"/>
          <w:vertAlign w:val="superscript"/>
        </w:rPr>
        <w:t>1</w:t>
      </w:r>
      <w:r>
        <w:rPr>
          <w:smallCaps w:val="0"/>
          <w:position w:val="0"/>
          <w:sz w:val="22"/>
        </w:rPr>
        <w:t>, Jean-Louis Nahon</w:t>
      </w:r>
      <w:r w:rsidRPr="00762E03">
        <w:rPr>
          <w:b/>
          <w:smallCaps w:val="0"/>
          <w:position w:val="0"/>
          <w:sz w:val="22"/>
          <w:vertAlign w:val="superscript"/>
        </w:rPr>
        <w:t>1</w:t>
      </w:r>
      <w:r w:rsidR="00935A1F">
        <w:rPr>
          <w:smallCaps w:val="0"/>
          <w:position w:val="0"/>
          <w:sz w:val="22"/>
        </w:rPr>
        <w:t xml:space="preserve"> and</w:t>
      </w:r>
      <w:r>
        <w:rPr>
          <w:smallCaps w:val="0"/>
          <w:position w:val="0"/>
          <w:sz w:val="22"/>
        </w:rPr>
        <w:t xml:space="preserve"> </w:t>
      </w:r>
      <w:r w:rsidRPr="00935A1F">
        <w:rPr>
          <w:smallCaps w:val="0"/>
          <w:position w:val="0"/>
          <w:sz w:val="22"/>
          <w:u w:val="single"/>
        </w:rPr>
        <w:t>Carole Rovère</w:t>
      </w:r>
      <w:r w:rsidRPr="00935A1F">
        <w:rPr>
          <w:b/>
          <w:smallCaps w:val="0"/>
          <w:position w:val="0"/>
          <w:sz w:val="22"/>
          <w:u w:val="single"/>
          <w:vertAlign w:val="superscript"/>
        </w:rPr>
        <w:t>1</w:t>
      </w:r>
    </w:p>
    <w:p w:rsidR="00F25B4E" w:rsidRDefault="00F25B4E" w:rsidP="00E82B8C">
      <w:pPr>
        <w:pStyle w:val="Normalcen"/>
        <w:spacing w:line="360" w:lineRule="auto"/>
        <w:ind w:left="0" w:right="-28"/>
        <w:rPr>
          <w:smallCaps w:val="0"/>
          <w:position w:val="0"/>
          <w:sz w:val="22"/>
        </w:rPr>
      </w:pPr>
    </w:p>
    <w:p w:rsidR="00F25B4E" w:rsidRDefault="00F25B4E" w:rsidP="00E82B8C">
      <w:pPr>
        <w:pStyle w:val="Normalcen"/>
        <w:spacing w:line="360" w:lineRule="auto"/>
        <w:ind w:left="0" w:right="-28"/>
        <w:rPr>
          <w:smallCaps w:val="0"/>
          <w:position w:val="0"/>
          <w:sz w:val="22"/>
        </w:rPr>
      </w:pPr>
      <w:r w:rsidRPr="00762E03">
        <w:rPr>
          <w:b/>
          <w:smallCaps w:val="0"/>
          <w:position w:val="0"/>
          <w:sz w:val="22"/>
          <w:vertAlign w:val="superscript"/>
        </w:rPr>
        <w:t>1</w:t>
      </w:r>
      <w:r w:rsidR="00935A1F">
        <w:rPr>
          <w:smallCaps w:val="0"/>
          <w:position w:val="0"/>
          <w:sz w:val="22"/>
        </w:rPr>
        <w:t>Université Côte d’Azur, CNRS, I</w:t>
      </w:r>
      <w:r>
        <w:rPr>
          <w:smallCaps w:val="0"/>
          <w:position w:val="0"/>
          <w:sz w:val="22"/>
        </w:rPr>
        <w:t>nstitut de Pharmacologie Moléculaire et Cellulaire, Valbonne</w:t>
      </w:r>
      <w:r w:rsidR="00935A1F">
        <w:rPr>
          <w:smallCaps w:val="0"/>
          <w:position w:val="0"/>
          <w:sz w:val="22"/>
        </w:rPr>
        <w:t>, France</w:t>
      </w:r>
    </w:p>
    <w:p w:rsidR="00F25B4E" w:rsidRDefault="00F25B4E" w:rsidP="00E82B8C">
      <w:pPr>
        <w:pStyle w:val="Normalcen"/>
        <w:spacing w:line="360" w:lineRule="auto"/>
        <w:ind w:left="0" w:right="-28"/>
        <w:rPr>
          <w:smallCaps w:val="0"/>
          <w:position w:val="0"/>
          <w:sz w:val="22"/>
          <w:lang w:val="en-US"/>
        </w:rPr>
      </w:pPr>
      <w:r w:rsidRPr="00935A1F">
        <w:rPr>
          <w:b/>
          <w:smallCaps w:val="0"/>
          <w:position w:val="0"/>
          <w:sz w:val="22"/>
          <w:vertAlign w:val="superscript"/>
          <w:lang w:val="en-US"/>
        </w:rPr>
        <w:t>2</w:t>
      </w:r>
      <w:r w:rsidRPr="00935A1F">
        <w:rPr>
          <w:smallCaps w:val="0"/>
          <w:position w:val="0"/>
          <w:sz w:val="22"/>
          <w:lang w:val="en-US"/>
        </w:rPr>
        <w:t xml:space="preserve">Helmholtz </w:t>
      </w:r>
      <w:r w:rsidR="001049D8">
        <w:rPr>
          <w:smallCaps w:val="0"/>
          <w:position w:val="0"/>
          <w:sz w:val="22"/>
          <w:lang w:val="en-US"/>
        </w:rPr>
        <w:t>Diabetes Center (HDC)</w:t>
      </w:r>
      <w:r w:rsidRPr="00935A1F">
        <w:rPr>
          <w:smallCaps w:val="0"/>
          <w:position w:val="0"/>
          <w:sz w:val="22"/>
          <w:lang w:val="en-US"/>
        </w:rPr>
        <w:t xml:space="preserve">, German </w:t>
      </w:r>
      <w:r w:rsidR="001049D8">
        <w:rPr>
          <w:smallCaps w:val="0"/>
          <w:position w:val="0"/>
          <w:sz w:val="22"/>
          <w:lang w:val="en-US"/>
        </w:rPr>
        <w:t>Center for Diabetes Research (DZD)</w:t>
      </w:r>
      <w:r w:rsidRPr="00935A1F">
        <w:rPr>
          <w:smallCaps w:val="0"/>
          <w:position w:val="0"/>
          <w:sz w:val="22"/>
          <w:lang w:val="en-US"/>
        </w:rPr>
        <w:t>, Munich, Germany</w:t>
      </w:r>
    </w:p>
    <w:p w:rsidR="001049D8" w:rsidRDefault="001049D8" w:rsidP="00E82B8C">
      <w:pPr>
        <w:pStyle w:val="Normalcen"/>
        <w:spacing w:line="360" w:lineRule="auto"/>
        <w:ind w:left="0" w:right="-28"/>
        <w:rPr>
          <w:rFonts w:ascii="Arial" w:hAnsi="Arial" w:cs="Arial"/>
          <w:sz w:val="20"/>
          <w:vertAlign w:val="superscript"/>
          <w:lang w:val="en-US"/>
        </w:rPr>
      </w:pPr>
    </w:p>
    <w:p w:rsidR="00F25B4E" w:rsidRDefault="00F25B4E" w:rsidP="00E82B8C">
      <w:pPr>
        <w:pStyle w:val="Normalcen"/>
        <w:spacing w:line="360" w:lineRule="auto"/>
        <w:ind w:left="0" w:right="-28"/>
        <w:rPr>
          <w:smallCaps w:val="0"/>
          <w:position w:val="0"/>
          <w:sz w:val="22"/>
        </w:rPr>
      </w:pPr>
      <w:r>
        <w:rPr>
          <w:smallCaps w:val="0"/>
          <w:position w:val="0"/>
          <w:sz w:val="22"/>
        </w:rPr>
        <w:t>La</w:t>
      </w:r>
      <w:r w:rsidRPr="00CD1359">
        <w:rPr>
          <w:smallCaps w:val="0"/>
          <w:position w:val="0"/>
          <w:sz w:val="22"/>
        </w:rPr>
        <w:t xml:space="preserve"> balance </w:t>
      </w:r>
      <w:r>
        <w:rPr>
          <w:smallCaps w:val="0"/>
          <w:position w:val="0"/>
          <w:sz w:val="22"/>
        </w:rPr>
        <w:t xml:space="preserve">énergétique </w:t>
      </w:r>
      <w:r w:rsidR="00C960EE">
        <w:rPr>
          <w:smallCaps w:val="0"/>
          <w:position w:val="0"/>
          <w:sz w:val="22"/>
        </w:rPr>
        <w:t xml:space="preserve">(BE) </w:t>
      </w:r>
      <w:r w:rsidRPr="00CD1359">
        <w:rPr>
          <w:smallCaps w:val="0"/>
          <w:position w:val="0"/>
          <w:sz w:val="22"/>
        </w:rPr>
        <w:t xml:space="preserve">est finement régulée par le </w:t>
      </w:r>
      <w:r>
        <w:rPr>
          <w:smallCaps w:val="0"/>
          <w:position w:val="0"/>
          <w:sz w:val="22"/>
        </w:rPr>
        <w:t>système nerveux central (SNC)</w:t>
      </w:r>
      <w:r w:rsidRPr="00CD1359">
        <w:rPr>
          <w:smallCaps w:val="0"/>
          <w:position w:val="0"/>
          <w:sz w:val="22"/>
        </w:rPr>
        <w:t xml:space="preserve"> : celui-ci intègre les signaux périphériques reflétant le statut énergétique </w:t>
      </w:r>
      <w:r>
        <w:rPr>
          <w:smallCaps w:val="0"/>
          <w:position w:val="0"/>
          <w:sz w:val="22"/>
        </w:rPr>
        <w:t xml:space="preserve">de l’organisme </w:t>
      </w:r>
      <w:r w:rsidRPr="00CD1359">
        <w:rPr>
          <w:smallCaps w:val="0"/>
          <w:position w:val="0"/>
          <w:sz w:val="22"/>
        </w:rPr>
        <w:t>et adapte en retour la prise alimentaire et la dépense énergétique</w:t>
      </w:r>
      <w:r>
        <w:rPr>
          <w:smallCaps w:val="0"/>
          <w:position w:val="0"/>
          <w:sz w:val="22"/>
        </w:rPr>
        <w:t xml:space="preserve"> dans le but de maintenir un poids stable tout au long de la vie adulte d’un individu</w:t>
      </w:r>
      <w:r w:rsidRPr="00CD1359">
        <w:rPr>
          <w:smallCaps w:val="0"/>
          <w:position w:val="0"/>
          <w:sz w:val="22"/>
        </w:rPr>
        <w:t xml:space="preserve">. L'hypothalamus (HT) est une des structures cérébrales ayant un rôle majeur dans l’intégration de ces signaux. Plusieurs études mettent en évidence que l’obésité induite par un régime riche en lipides (HFD)  entraîne une inflammation au niveau de l’HT </w:t>
      </w:r>
      <w:r>
        <w:rPr>
          <w:smallCaps w:val="0"/>
          <w:position w:val="0"/>
          <w:sz w:val="22"/>
        </w:rPr>
        <w:t xml:space="preserve">qui pourrait être </w:t>
      </w:r>
      <w:r w:rsidRPr="00CD1359">
        <w:rPr>
          <w:smallCaps w:val="0"/>
          <w:position w:val="0"/>
          <w:sz w:val="22"/>
        </w:rPr>
        <w:t>à l’origine de l’obésité. De plus, les lipides contenus dans le HFD seraient directement responsables du déclenchement de la réponse inflammatoire</w:t>
      </w:r>
      <w:r>
        <w:rPr>
          <w:smallCaps w:val="0"/>
          <w:position w:val="0"/>
          <w:sz w:val="22"/>
        </w:rPr>
        <w:t>. Au niveau cellulaire, cette inflammation</w:t>
      </w:r>
      <w:r w:rsidRPr="00CD1359">
        <w:rPr>
          <w:smallCaps w:val="0"/>
          <w:position w:val="0"/>
          <w:sz w:val="22"/>
        </w:rPr>
        <w:t xml:space="preserve"> se traduit</w:t>
      </w:r>
      <w:r>
        <w:rPr>
          <w:smallCaps w:val="0"/>
          <w:position w:val="0"/>
          <w:sz w:val="22"/>
        </w:rPr>
        <w:t xml:space="preserve">, entre autres, par une activation </w:t>
      </w:r>
      <w:r w:rsidRPr="00CD1359">
        <w:rPr>
          <w:smallCaps w:val="0"/>
          <w:position w:val="0"/>
          <w:sz w:val="22"/>
        </w:rPr>
        <w:t xml:space="preserve">de la microglie et des </w:t>
      </w:r>
      <w:proofErr w:type="spellStart"/>
      <w:r w:rsidRPr="00CD1359">
        <w:rPr>
          <w:smallCaps w:val="0"/>
          <w:position w:val="0"/>
          <w:sz w:val="22"/>
        </w:rPr>
        <w:t>astrocytes</w:t>
      </w:r>
      <w:proofErr w:type="spellEnd"/>
      <w:r w:rsidRPr="00CD1359">
        <w:rPr>
          <w:smallCaps w:val="0"/>
          <w:position w:val="0"/>
          <w:sz w:val="22"/>
        </w:rPr>
        <w:t xml:space="preserve"> </w:t>
      </w:r>
      <w:r>
        <w:rPr>
          <w:smallCaps w:val="0"/>
          <w:position w:val="0"/>
          <w:sz w:val="22"/>
        </w:rPr>
        <w:t xml:space="preserve">dans </w:t>
      </w:r>
      <w:r w:rsidRPr="00CD1359">
        <w:rPr>
          <w:smallCaps w:val="0"/>
          <w:position w:val="0"/>
          <w:sz w:val="22"/>
        </w:rPr>
        <w:t xml:space="preserve">l’HT. Chez le rongeur, des études récentes montrent que la prolifération de la microglie et des </w:t>
      </w:r>
      <w:proofErr w:type="spellStart"/>
      <w:r w:rsidRPr="00CD1359">
        <w:rPr>
          <w:smallCaps w:val="0"/>
          <w:position w:val="0"/>
          <w:sz w:val="22"/>
        </w:rPr>
        <w:t>astrocytes</w:t>
      </w:r>
      <w:proofErr w:type="spellEnd"/>
      <w:r w:rsidRPr="00CD1359">
        <w:rPr>
          <w:smallCaps w:val="0"/>
          <w:position w:val="0"/>
          <w:sz w:val="22"/>
        </w:rPr>
        <w:t xml:space="preserve"> s’observe dès les premières 24h de consommation de HFD, bien avant la mise en place de l’obésité</w:t>
      </w:r>
      <w:r>
        <w:rPr>
          <w:smallCaps w:val="0"/>
          <w:position w:val="0"/>
          <w:sz w:val="22"/>
        </w:rPr>
        <w:t>, et semble être réversible</w:t>
      </w:r>
      <w:r w:rsidRPr="00CD1359">
        <w:rPr>
          <w:smallCaps w:val="0"/>
          <w:position w:val="0"/>
          <w:sz w:val="22"/>
        </w:rPr>
        <w:t xml:space="preserve">. </w:t>
      </w:r>
      <w:r>
        <w:rPr>
          <w:smallCaps w:val="0"/>
          <w:position w:val="0"/>
          <w:sz w:val="22"/>
        </w:rPr>
        <w:t xml:space="preserve">Nous supposons donc que l’activation gliale précoce serait un mécanisme adaptatif impliqué dans la régulation physiologique de la </w:t>
      </w:r>
      <w:r w:rsidR="00C960EE">
        <w:rPr>
          <w:smallCaps w:val="0"/>
          <w:position w:val="0"/>
          <w:sz w:val="22"/>
        </w:rPr>
        <w:t>BE</w:t>
      </w:r>
      <w:r>
        <w:rPr>
          <w:smallCaps w:val="0"/>
          <w:position w:val="0"/>
          <w:sz w:val="22"/>
        </w:rPr>
        <w:t xml:space="preserve"> et qu’une surexposition aux lipides nutritionnels pourrait déréguler cette réponse inflammatoire et entrainer l’obésité. Dans notre étude, </w:t>
      </w:r>
      <w:r w:rsidR="00A15CA8">
        <w:rPr>
          <w:smallCaps w:val="0"/>
          <w:position w:val="0"/>
          <w:sz w:val="22"/>
        </w:rPr>
        <w:t>nous observons</w:t>
      </w:r>
      <w:r>
        <w:rPr>
          <w:smallCaps w:val="0"/>
          <w:position w:val="0"/>
          <w:sz w:val="22"/>
        </w:rPr>
        <w:t xml:space="preserve"> une augmentation de l’expression du marqueur </w:t>
      </w:r>
      <w:proofErr w:type="spellStart"/>
      <w:r>
        <w:rPr>
          <w:smallCaps w:val="0"/>
          <w:position w:val="0"/>
          <w:sz w:val="22"/>
        </w:rPr>
        <w:t>astrocytaire</w:t>
      </w:r>
      <w:proofErr w:type="spellEnd"/>
      <w:r>
        <w:rPr>
          <w:smallCaps w:val="0"/>
          <w:position w:val="0"/>
          <w:sz w:val="22"/>
        </w:rPr>
        <w:t xml:space="preserve"> GFAP dans l’HT après 1h de consommation de HFD</w:t>
      </w:r>
      <w:r w:rsidR="00A15CA8">
        <w:rPr>
          <w:smallCaps w:val="0"/>
          <w:position w:val="0"/>
          <w:sz w:val="22"/>
        </w:rPr>
        <w:t xml:space="preserve"> ainsi qu’</w:t>
      </w:r>
      <w:r>
        <w:rPr>
          <w:smallCaps w:val="0"/>
          <w:position w:val="0"/>
          <w:sz w:val="22"/>
        </w:rPr>
        <w:t xml:space="preserve">une augmentation de l’expression du marqueur </w:t>
      </w:r>
      <w:proofErr w:type="spellStart"/>
      <w:r>
        <w:rPr>
          <w:smallCaps w:val="0"/>
          <w:position w:val="0"/>
          <w:sz w:val="22"/>
        </w:rPr>
        <w:t>microglial</w:t>
      </w:r>
      <w:proofErr w:type="spellEnd"/>
      <w:r>
        <w:rPr>
          <w:smallCaps w:val="0"/>
          <w:position w:val="0"/>
          <w:sz w:val="22"/>
        </w:rPr>
        <w:t xml:space="preserve"> Iba1 et </w:t>
      </w:r>
      <w:r w:rsidR="00C960EE">
        <w:rPr>
          <w:smallCaps w:val="0"/>
          <w:position w:val="0"/>
          <w:sz w:val="22"/>
        </w:rPr>
        <w:t>des</w:t>
      </w:r>
      <w:r w:rsidR="00A15CA8">
        <w:rPr>
          <w:smallCaps w:val="0"/>
          <w:position w:val="0"/>
          <w:sz w:val="22"/>
        </w:rPr>
        <w:t xml:space="preserve"> </w:t>
      </w:r>
      <w:r>
        <w:rPr>
          <w:smallCaps w:val="0"/>
          <w:position w:val="0"/>
          <w:sz w:val="22"/>
        </w:rPr>
        <w:t xml:space="preserve">modifications morphologiques des </w:t>
      </w:r>
      <w:proofErr w:type="spellStart"/>
      <w:r>
        <w:rPr>
          <w:smallCaps w:val="0"/>
          <w:position w:val="0"/>
          <w:sz w:val="22"/>
        </w:rPr>
        <w:t>astrocytes</w:t>
      </w:r>
      <w:proofErr w:type="spellEnd"/>
      <w:r>
        <w:rPr>
          <w:smallCaps w:val="0"/>
          <w:position w:val="0"/>
          <w:sz w:val="22"/>
        </w:rPr>
        <w:t xml:space="preserve"> dans l’HT après 3h de consommation de HFD. </w:t>
      </w:r>
      <w:r w:rsidR="00A15CA8">
        <w:rPr>
          <w:smallCaps w:val="0"/>
          <w:position w:val="0"/>
          <w:sz w:val="22"/>
        </w:rPr>
        <w:t>De plus, c</w:t>
      </w:r>
      <w:r>
        <w:rPr>
          <w:smallCaps w:val="0"/>
          <w:position w:val="0"/>
          <w:sz w:val="22"/>
        </w:rPr>
        <w:t xml:space="preserve">e remodelage des cellules gliales est associé à l’activation différentielle de certains </w:t>
      </w:r>
      <w:r w:rsidR="00C960EE">
        <w:rPr>
          <w:smallCaps w:val="0"/>
          <w:position w:val="0"/>
          <w:sz w:val="22"/>
        </w:rPr>
        <w:t>peptides</w:t>
      </w:r>
      <w:r>
        <w:rPr>
          <w:smallCaps w:val="0"/>
          <w:position w:val="0"/>
          <w:sz w:val="22"/>
        </w:rPr>
        <w:t xml:space="preserve"> </w:t>
      </w:r>
      <w:r w:rsidR="00A15CA8">
        <w:rPr>
          <w:smallCaps w:val="0"/>
          <w:position w:val="0"/>
          <w:sz w:val="22"/>
        </w:rPr>
        <w:t>hypothalamique</w:t>
      </w:r>
      <w:r w:rsidR="00C960EE">
        <w:rPr>
          <w:smallCaps w:val="0"/>
          <w:position w:val="0"/>
          <w:sz w:val="22"/>
        </w:rPr>
        <w:t>s</w:t>
      </w:r>
      <w:r>
        <w:rPr>
          <w:smallCaps w:val="0"/>
          <w:position w:val="0"/>
          <w:sz w:val="22"/>
        </w:rPr>
        <w:t>.</w:t>
      </w:r>
      <w:r w:rsidR="00A15CA8">
        <w:rPr>
          <w:smallCaps w:val="0"/>
          <w:position w:val="0"/>
          <w:sz w:val="22"/>
        </w:rPr>
        <w:t xml:space="preserve"> </w:t>
      </w:r>
      <w:r>
        <w:rPr>
          <w:smallCaps w:val="0"/>
          <w:position w:val="0"/>
          <w:sz w:val="22"/>
        </w:rPr>
        <w:t xml:space="preserve">Nos résultats suggèrent donc que l’inflammation induite par la consommation de HFD </w:t>
      </w:r>
      <w:r w:rsidR="00A15CA8">
        <w:rPr>
          <w:smallCaps w:val="0"/>
          <w:position w:val="0"/>
          <w:sz w:val="22"/>
        </w:rPr>
        <w:t>est un phénomène très précoce</w:t>
      </w:r>
      <w:r w:rsidR="00B355DD">
        <w:rPr>
          <w:smallCaps w:val="0"/>
          <w:position w:val="0"/>
          <w:sz w:val="22"/>
        </w:rPr>
        <w:t xml:space="preserve"> potentiellement impliqué</w:t>
      </w:r>
      <w:r w:rsidR="00C960EE">
        <w:rPr>
          <w:smallCaps w:val="0"/>
          <w:position w:val="0"/>
          <w:sz w:val="22"/>
        </w:rPr>
        <w:t xml:space="preserve"> dans la régulation de la BE</w:t>
      </w:r>
      <w:r w:rsidR="00A15CA8">
        <w:rPr>
          <w:smallCaps w:val="0"/>
          <w:position w:val="0"/>
          <w:sz w:val="22"/>
        </w:rPr>
        <w:t xml:space="preserve">. </w:t>
      </w:r>
      <w:r>
        <w:rPr>
          <w:smallCaps w:val="0"/>
          <w:position w:val="0"/>
          <w:sz w:val="22"/>
        </w:rPr>
        <w:t xml:space="preserve">Dans le futur, nous souhaitons moduler </w:t>
      </w:r>
      <w:r w:rsidR="00935A1F">
        <w:rPr>
          <w:smallCaps w:val="0"/>
          <w:position w:val="0"/>
          <w:sz w:val="22"/>
        </w:rPr>
        <w:t>par pharmacogénétique</w:t>
      </w:r>
      <w:r>
        <w:rPr>
          <w:smallCaps w:val="0"/>
          <w:position w:val="0"/>
          <w:sz w:val="22"/>
        </w:rPr>
        <w:t xml:space="preserve"> cette activation gliale afin d’établir la cascade d’évènements moléculaires et cellulaires à l’origine des perturbations du </w:t>
      </w:r>
      <w:bookmarkStart w:id="0" w:name="_GoBack"/>
      <w:bookmarkEnd w:id="0"/>
      <w:r>
        <w:rPr>
          <w:smallCaps w:val="0"/>
          <w:position w:val="0"/>
          <w:sz w:val="22"/>
        </w:rPr>
        <w:t>SNC associées à l’obésité.</w:t>
      </w:r>
    </w:p>
    <w:p w:rsidR="004F52D4" w:rsidRDefault="004F52D4" w:rsidP="00E82B8C">
      <w:pPr>
        <w:pStyle w:val="Normalcen"/>
        <w:spacing w:line="360" w:lineRule="auto"/>
        <w:ind w:left="0" w:right="-28"/>
        <w:rPr>
          <w:smallCaps w:val="0"/>
          <w:position w:val="0"/>
          <w:sz w:val="22"/>
        </w:rPr>
      </w:pPr>
    </w:p>
    <w:p w:rsidR="004F52D4" w:rsidRDefault="004F52D4" w:rsidP="00E82B8C">
      <w:pPr>
        <w:pStyle w:val="Normalcen"/>
        <w:spacing w:line="360" w:lineRule="auto"/>
        <w:ind w:left="0" w:right="-28"/>
        <w:rPr>
          <w:smallCaps w:val="0"/>
          <w:position w:val="0"/>
          <w:sz w:val="22"/>
        </w:rPr>
      </w:pPr>
      <w:r w:rsidRPr="004F52D4">
        <w:rPr>
          <w:smallCaps w:val="0"/>
          <w:position w:val="0"/>
          <w:sz w:val="22"/>
        </w:rPr>
        <w:t>Ce travail a été subventionné par le CNRS et la Fondation pour la Recherche Médicale (Equipe FRM 2015 DEQ20150331738)</w:t>
      </w:r>
      <w:r w:rsidR="00935A1F">
        <w:rPr>
          <w:smallCaps w:val="0"/>
          <w:position w:val="0"/>
          <w:sz w:val="22"/>
        </w:rPr>
        <w:t>.</w:t>
      </w:r>
    </w:p>
    <w:p w:rsidR="004F52D4" w:rsidRPr="00CD1359" w:rsidRDefault="004F52D4" w:rsidP="00E82B8C">
      <w:pPr>
        <w:pStyle w:val="Normalcen"/>
        <w:spacing w:line="360" w:lineRule="auto"/>
        <w:ind w:left="0" w:right="-28"/>
        <w:rPr>
          <w:smallCaps w:val="0"/>
          <w:position w:val="0"/>
        </w:rPr>
      </w:pPr>
    </w:p>
    <w:p w:rsidR="00F25B4E" w:rsidRPr="00A15CA8" w:rsidRDefault="00F25B4E" w:rsidP="00E82B8C"/>
    <w:sectPr w:rsidR="00F25B4E" w:rsidRPr="00A15CA8" w:rsidSect="00E06F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w:charset w:val="00"/>
    <w:family w:val="auto"/>
    <w:pitch w:val="variable"/>
    <w:sig w:usb0="00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oNotHyphenateCaps/>
  <w:characterSpacingControl w:val="doNotCompress"/>
  <w:doNotValidateAgainstSchema/>
  <w:doNotDemarcateInvalidXml/>
  <w:compat/>
  <w:rsids>
    <w:rsidRoot w:val="00D7362F"/>
    <w:rsid w:val="00031D06"/>
    <w:rsid w:val="00084554"/>
    <w:rsid w:val="00084B6D"/>
    <w:rsid w:val="001049D8"/>
    <w:rsid w:val="00135B90"/>
    <w:rsid w:val="00194462"/>
    <w:rsid w:val="001A2752"/>
    <w:rsid w:val="00252468"/>
    <w:rsid w:val="00277A0A"/>
    <w:rsid w:val="00295A2C"/>
    <w:rsid w:val="003C7596"/>
    <w:rsid w:val="004F52D4"/>
    <w:rsid w:val="006477B5"/>
    <w:rsid w:val="00661871"/>
    <w:rsid w:val="00675A62"/>
    <w:rsid w:val="00691528"/>
    <w:rsid w:val="006F0B2F"/>
    <w:rsid w:val="00717108"/>
    <w:rsid w:val="00733627"/>
    <w:rsid w:val="00762E03"/>
    <w:rsid w:val="00813BCD"/>
    <w:rsid w:val="00860471"/>
    <w:rsid w:val="009328D4"/>
    <w:rsid w:val="00935A1F"/>
    <w:rsid w:val="00965E9A"/>
    <w:rsid w:val="009C574C"/>
    <w:rsid w:val="00A137A9"/>
    <w:rsid w:val="00A15CA8"/>
    <w:rsid w:val="00A766CA"/>
    <w:rsid w:val="00A810C7"/>
    <w:rsid w:val="00AB047E"/>
    <w:rsid w:val="00B355DD"/>
    <w:rsid w:val="00B37959"/>
    <w:rsid w:val="00C5080F"/>
    <w:rsid w:val="00C960EE"/>
    <w:rsid w:val="00CD1359"/>
    <w:rsid w:val="00CF3D52"/>
    <w:rsid w:val="00D7362F"/>
    <w:rsid w:val="00E06F5B"/>
    <w:rsid w:val="00E460F7"/>
    <w:rsid w:val="00E82B8C"/>
    <w:rsid w:val="00F25B4E"/>
    <w:rsid w:val="00FD3C0C"/>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52"/>
    <w:pPr>
      <w:spacing w:after="200" w:line="276" w:lineRule="auto"/>
    </w:pPr>
    <w:rPr>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E460F7"/>
    <w:tblPr>
      <w:tblInd w:w="0" w:type="dxa"/>
      <w:tblCellMar>
        <w:top w:w="0" w:type="dxa"/>
        <w:left w:w="108" w:type="dxa"/>
        <w:bottom w:w="0" w:type="dxa"/>
        <w:right w:w="108" w:type="dxa"/>
      </w:tblCellMar>
    </w:tblPr>
  </w:style>
  <w:style w:type="table" w:customStyle="1" w:styleId="TableauNorm1">
    <w:name w:val="Tableau Norm1"/>
    <w:uiPriority w:val="99"/>
    <w:semiHidden/>
    <w:rsid w:val="00C5080F"/>
    <w:tblPr>
      <w:tblInd w:w="0" w:type="dxa"/>
      <w:tblCellMar>
        <w:top w:w="0" w:type="dxa"/>
        <w:left w:w="108" w:type="dxa"/>
        <w:bottom w:w="0" w:type="dxa"/>
        <w:right w:w="108" w:type="dxa"/>
      </w:tblCellMar>
    </w:tblPr>
  </w:style>
  <w:style w:type="paragraph" w:customStyle="1" w:styleId="Normalcen">
    <w:name w:val="Normal cen"/>
    <w:basedOn w:val="Normal"/>
    <w:uiPriority w:val="99"/>
    <w:rsid w:val="00D7362F"/>
    <w:pPr>
      <w:spacing w:after="0" w:line="240" w:lineRule="auto"/>
      <w:ind w:left="1701" w:right="-29"/>
      <w:jc w:val="both"/>
    </w:pPr>
    <w:rPr>
      <w:rFonts w:ascii="Times New Roman" w:hAnsi="Times New Roman"/>
      <w:smallCaps/>
      <w:position w:val="-6"/>
      <w:sz w:val="24"/>
      <w:szCs w:val="20"/>
    </w:rPr>
  </w:style>
  <w:style w:type="character" w:customStyle="1" w:styleId="BlockTextChar">
    <w:name w:val="Block Text Char"/>
    <w:basedOn w:val="Policepardfaut"/>
    <w:uiPriority w:val="99"/>
    <w:rsid w:val="00D7362F"/>
    <w:rPr>
      <w:rFonts w:ascii="Times New Roman" w:hAnsi="Times New Roman" w:cs="Times New Roman"/>
      <w:smallCaps/>
      <w:position w:val="-6"/>
      <w:sz w:val="20"/>
      <w:lang w:eastAsia="fr-FR"/>
    </w:rPr>
  </w:style>
  <w:style w:type="paragraph" w:customStyle="1" w:styleId="Textedebul">
    <w:name w:val="Texte de bul"/>
    <w:basedOn w:val="Normal"/>
    <w:uiPriority w:val="99"/>
    <w:semiHidden/>
    <w:rsid w:val="00965E9A"/>
    <w:pPr>
      <w:spacing w:after="0" w:line="240" w:lineRule="auto"/>
    </w:pPr>
    <w:rPr>
      <w:rFonts w:ascii="Tahoma" w:hAnsi="Tahoma" w:cs="Tahoma"/>
      <w:sz w:val="16"/>
      <w:szCs w:val="16"/>
    </w:rPr>
  </w:style>
  <w:style w:type="character" w:customStyle="1" w:styleId="BalloonTextChar">
    <w:name w:val="Balloon Text Char"/>
    <w:basedOn w:val="Policepardfaut"/>
    <w:uiPriority w:val="99"/>
    <w:semiHidden/>
    <w:rsid w:val="00965E9A"/>
    <w:rPr>
      <w:rFonts w:ascii="Tahoma" w:hAnsi="Tahoma" w:cs="Tahoma"/>
      <w:sz w:val="16"/>
    </w:rPr>
  </w:style>
  <w:style w:type="paragraph" w:customStyle="1" w:styleId="Textedebul1">
    <w:name w:val="Texte de bul1"/>
    <w:basedOn w:val="Normal"/>
    <w:uiPriority w:val="99"/>
    <w:semiHidden/>
    <w:rsid w:val="00A766CA"/>
    <w:rPr>
      <w:rFonts w:ascii="Lucida Grande" w:hAnsi="Lucida Grande"/>
      <w:sz w:val="18"/>
      <w:szCs w:val="18"/>
    </w:rPr>
  </w:style>
  <w:style w:type="character" w:customStyle="1" w:styleId="BalloonTextChar1">
    <w:name w:val="Balloon Text Char1"/>
    <w:basedOn w:val="Policepardfaut"/>
    <w:uiPriority w:val="99"/>
    <w:semiHidden/>
    <w:rsid w:val="00E460F7"/>
    <w:rPr>
      <w:rFonts w:ascii="Lucida Grande" w:hAnsi="Lucida Grande" w:cs="Times New Roman"/>
      <w:sz w:val="18"/>
      <w:lang w:eastAsia="fr-FR"/>
    </w:rPr>
  </w:style>
  <w:style w:type="paragraph" w:styleId="Textedebulles">
    <w:name w:val="Balloon Text"/>
    <w:basedOn w:val="Normal"/>
    <w:link w:val="TextedebullesCar"/>
    <w:uiPriority w:val="99"/>
    <w:semiHidden/>
    <w:rsid w:val="00B37959"/>
    <w:rPr>
      <w:rFonts w:ascii="Lucida Grande" w:hAnsi="Lucida Grande"/>
      <w:sz w:val="18"/>
      <w:szCs w:val="18"/>
    </w:rPr>
  </w:style>
  <w:style w:type="character" w:customStyle="1" w:styleId="TextedebullesCar">
    <w:name w:val="Texte de bulles Car"/>
    <w:basedOn w:val="Policepardfaut"/>
    <w:link w:val="Textedebulles"/>
    <w:uiPriority w:val="99"/>
    <w:semiHidden/>
    <w:rsid w:val="00400A51"/>
    <w:rPr>
      <w:rFonts w:ascii="Lucida Grande" w:hAnsi="Lucida Grande"/>
      <w:sz w:val="18"/>
      <w:szCs w:val="18"/>
      <w:lang w:eastAsia="fr-FR"/>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Activation gliale pr_coce en r_ponse aux lipides nutritionnels dans lÕhypothalamus</vt:lpstr>
    </vt:vector>
  </TitlesOfParts>
  <Company>Microsoft</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Activation gliale pr_coce en r_ponse aux lipides nutritionnels dans lÕhypothalamus</dc:title>
  <dc:creator>IPMC</dc:creator>
  <cp:lastModifiedBy>IPMC</cp:lastModifiedBy>
  <cp:revision>3</cp:revision>
  <dcterms:created xsi:type="dcterms:W3CDTF">2017-05-11T12:39:00Z</dcterms:created>
  <dcterms:modified xsi:type="dcterms:W3CDTF">2017-05-11T13:07:00Z</dcterms:modified>
</cp:coreProperties>
</file>